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440"/>
        <w:jc w:val="center"/>
      </w:pPr>
      <w:r>
        <w:rPr>
          <w:rFonts w:ascii="Arial" w:cs="Arial" w:eastAsia="Arial" w:hAnsi="Arial"/>
          <w:b/>
          <w:bCs/>
          <w:color w:val="1F4E79"/>
          <w:sz w:val="52"/>
          <w:szCs w:val="52"/>
        </w:rPr>
        <w:t xml:space="preserve">GYOR FOR EVERYONE</w:t>
      </w:r>
    </w:p>
    <w:p>
      <w:pPr>
        <w:spacing w:after="160" w:before="0"/>
        <w:jc w:val="center"/>
      </w:pPr>
      <w:r>
        <w:rPr>
          <w:rFonts w:ascii="Arial" w:cs="Arial" w:eastAsia="Arial" w:hAnsi="Arial"/>
          <w:i/>
          <w:iCs/>
          <w:color w:val="888888"/>
          <w:sz w:val="24"/>
          <w:szCs w:val="24"/>
        </w:rPr>
        <w:t xml:space="preserve">pronounced “gore”</w:t>
      </w:r>
    </w:p>
    <w:p>
      <w:pPr>
        <w:spacing w:after="120" w:before="0"/>
        <w:jc w:val="center"/>
      </w:pPr>
      <w:r>
        <w:rPr>
          <w:rFonts w:ascii="Arial" w:cs="Arial" w:eastAsia="Arial" w:hAnsi="Arial"/>
          <w:i/>
          <w:iCs/>
          <w:color w:val="2E74B5"/>
          <w:sz w:val="30"/>
          <w:szCs w:val="30"/>
        </w:rPr>
        <w:t xml:space="preserve">How to Read a Failing System Before It Snaps</w:t>
      </w:r>
    </w:p>
    <w:p>
      <w:pPr>
        <w:spacing w:after="80" w:before="600"/>
        <w:jc w:val="center"/>
      </w:pPr>
      <w:r>
        <w:rPr>
          <w:rFonts w:ascii="Arial" w:cs="Arial" w:eastAsia="Arial" w:hAnsi="Arial"/>
          <w:b/>
          <w:bCs/>
          <w:sz w:val="24"/>
          <w:szCs w:val="24"/>
        </w:rPr>
        <w:t xml:space="preserve">Ronald Brogdon</w:t>
      </w:r>
    </w:p>
    <w:p>
      <w:pPr>
        <w:spacing w:after="80" w:before="0"/>
        <w:jc w:val="center"/>
      </w:pPr>
      <w:r>
        <w:rPr>
          <w:rFonts w:ascii="Arial" w:cs="Arial" w:eastAsia="Arial" w:hAnsi="Arial"/>
          <w:color w:val="555555"/>
          <w:sz w:val="22"/>
          <w:szCs w:val="22"/>
        </w:rPr>
        <w:t xml:space="preserve">Founder and Steward, Upstream Coherence Measurement Stratum (UCMS)</w:t>
      </w:r>
    </w:p>
    <w:p>
      <w:pPr>
        <w:spacing w:after="80" w:before="0"/>
        <w:jc w:val="center"/>
      </w:pPr>
      <w:r>
        <w:rPr>
          <w:rFonts w:ascii="Arial" w:cs="Arial" w:eastAsia="Arial" w:hAnsi="Arial"/>
          <w:color w:val="555555"/>
          <w:sz w:val="22"/>
          <w:szCs w:val="22"/>
        </w:rPr>
        <w:t xml:space="preserve">Souljourner Simulations  ·  Cypress, Texas  ·  2026</w:t>
      </w:r>
    </w:p>
    <w:p>
      <w:pPr>
        <w:spacing w:after="80" w:before="600"/>
        <w:jc w:val="center"/>
      </w:pPr>
      <w:r>
        <w:rPr>
          <w:rFonts w:ascii="Arial" w:cs="Arial" w:eastAsia="Arial" w:hAnsi="Arial"/>
          <w:i/>
          <w:iCs/>
          <w:color w:val="888888"/>
          <w:sz w:val="20"/>
          <w:szCs w:val="20"/>
        </w:rPr>
        <w:t xml:space="preserve">Part of the GCM Observatory Series</w:t>
      </w:r>
    </w:p>
    <w:p>
      <w:pPr>
        <w:spacing w:after="80" w:before="0"/>
        <w:jc w:val="center"/>
      </w:pPr>
      <w:r>
        <w:rPr>
          <w:rFonts w:ascii="Arial" w:cs="Arial" w:eastAsia="Arial" w:hAnsi="Arial"/>
          <w:color w:val="888888"/>
          <w:sz w:val="18"/>
          <w:szCs w:val="18"/>
        </w:rPr>
        <w:t xml:space="preserve">Full technical canon deposited at Zenodo · doi.org/10.5281/zenodo.18931019</w:t>
      </w:r>
    </w:p>
    <w:p>
      <w:pPr>
        <w:pBdr>
          <w:bottom w:val="single" w:color="CCCCCC" w:sz="4" w:space="1"/>
        </w:pBdr>
        <w:spacing w:after="200" w:before="200"/>
      </w:pPr>
    </w:p>
    <w:p>
      <w:pPr>
        <w:pStyle w:val="Heading1"/>
        <w:spacing w:after="180" w:before="360"/>
      </w:pPr>
      <w:r>
        <w:rPr>
          <w:rFonts w:ascii="Arial" w:cs="Arial" w:eastAsia="Arial" w:hAnsi="Arial"/>
          <w:b/>
          <w:bCs/>
          <w:sz w:val="32"/>
          <w:szCs w:val="32"/>
        </w:rPr>
        <w:t xml:space="preserve">Preface: The Detection Gap</w:t>
      </w:r>
    </w:p>
    <w:p>
      <w:pPr>
        <w:spacing w:after="120" w:before="80" w:line="276"/>
      </w:pPr>
      <w:r>
        <w:rPr>
          <w:rFonts w:ascii="Arial" w:cs="Arial" w:eastAsia="Arial" w:hAnsi="Arial"/>
          <w:sz w:val="22"/>
          <w:szCs w:val="22"/>
        </w:rPr>
        <w:t xml:space="preserve">Every system that fails leaves a trail. The trail is always visible in hindsight. The question this document asks is simpler and more urgent: why is it so rarely visible in time?</w:t>
      </w:r>
    </w:p>
    <w:p>
      <w:pPr>
        <w:spacing w:after="120" w:before="80" w:line="276"/>
      </w:pPr>
      <w:r>
        <w:rPr>
          <w:rFonts w:ascii="Arial" w:cs="Arial" w:eastAsia="Arial" w:hAnsi="Arial"/>
          <w:sz w:val="22"/>
          <w:szCs w:val="22"/>
        </w:rPr>
        <w:t xml:space="preserve">The answer is not that the signals were absent. It is that we did not have a language for reading them. By the time a rupture is visible — the refinery explodes, the airline melts down, the state evaporates — the structural failure that caused it has been accumulating for months or years. The gap between that accumulation and the moment it becomes undeniable is what we call the Detection Gap.</w:t>
      </w:r>
    </w:p>
    <w:p>
      <w:pPr>
        <w:spacing w:after="120" w:before="80" w:line="276"/>
      </w:pPr>
      <w:r>
        <w:rPr>
          <w:rFonts w:ascii="Arial" w:cs="Arial" w:eastAsia="Arial" w:hAnsi="Arial"/>
          <w:sz w:val="22"/>
          <w:szCs w:val="22"/>
        </w:rPr>
        <w:t xml:space="preserve">This document introduces GYOR: a four-state notation for reading that gap. Green. Yellow. Orange. Red. The framework was developed under the Upstream Coherence Measurement Stratum (UCMS) and formally published in the GCM Observatory Series. Paper II of that series — The Rupture Atlas — reconstructed 24 historical systemic events using GYOR morphology and subjected the framework to a rigorous falsification protocol.</w:t>
      </w:r>
    </w:p>
    <w:p>
      <w:pPr>
        <w:spacing w:after="120" w:before="80" w:line="276"/>
      </w:pPr>
      <w:r>
        <w:rPr>
          <w:rFonts w:ascii="Arial" w:cs="Arial" w:eastAsia="Arial" w:hAnsi="Arial"/>
          <w:sz w:val="22"/>
          <w:szCs w:val="22"/>
        </w:rPr>
        <w:t xml:space="preserve">This is not that paper. This document is written for the political scientist, the historian, the economist, the student, and the informed observer who wants to read the world through a coherence lens without first acquiring a background in actuarial science or systems engineering. The technical foundation is real and it is deposited. This document is the entry point.</w:t>
      </w:r>
    </w:p>
    <w:p>
      <w:pPr>
        <w:spacing w:after="120" w:before="80" w:line="276"/>
      </w:pPr>
      <w:r>
        <w:rPr>
          <w:rFonts w:ascii="Arial" w:cs="Arial" w:eastAsia="Arial" w:hAnsi="Arial"/>
          <w:sz w:val="22"/>
          <w:szCs w:val="22"/>
        </w:rPr>
        <w:t xml:space="preserve">You do not need instruments to use GYOR. You need to pay attention to what is already visible in public record. Sudan will demonstrate why.</w:t>
      </w:r>
    </w:p>
    <w:p>
      <w:pPr>
        <w:spacing w:after="120" w:before="80" w:line="276"/>
      </w:pPr>
      <w:r>
        <w:rPr>
          <w:rFonts w:ascii="Arial" w:cs="Arial" w:eastAsia="Arial" w:hAnsi="Arial"/>
          <w:sz w:val="22"/>
          <w:szCs w:val="22"/>
        </w:rPr>
        <w:t xml:space="preserve">One clarification before we begin. GYOR does not replace your discipline’s vocabulary. An engineer will keep calling it fatigue and failure propagation. An actuary will keep calling it loss development and IBNR emergence. A political scientist will keep calling it state fragility and governance failure. GYOR sits underneath all of those vocabularies as a shared notation — a translation layer that lets each discipline read what the others have been measuring without requiring anyone to abandon their own methods. The value proposition is not unification. It is interoperability.</w:t>
      </w:r>
    </w:p>
    <w:p>
      <w:pPr>
        <w:pBdr>
          <w:bottom w:val="single" w:color="CCCCCC" w:sz="4" w:space="1"/>
        </w:pBdr>
        <w:spacing w:after="200" w:before="200"/>
      </w:pPr>
    </w:p>
    <w:p>
      <w:pPr>
        <w:pStyle w:val="Heading1"/>
        <w:spacing w:after="180" w:before="360"/>
      </w:pPr>
      <w:r>
        <w:rPr>
          <w:rFonts w:ascii="Arial" w:cs="Arial" w:eastAsia="Arial" w:hAnsi="Arial"/>
          <w:b/>
          <w:bCs/>
          <w:sz w:val="32"/>
          <w:szCs w:val="32"/>
        </w:rPr>
        <w:t xml:space="preserve">Part I: The Philosophical Ground — Ludwig and the Living System</w:t>
      </w:r>
    </w:p>
    <w:p>
      <w:pPr>
        <w:spacing w:after="120" w:before="80" w:line="276"/>
      </w:pPr>
      <w:r>
        <w:rPr>
          <w:rFonts w:ascii="Arial" w:cs="Arial" w:eastAsia="Arial" w:hAnsi="Arial"/>
          <w:sz w:val="22"/>
          <w:szCs w:val="22"/>
        </w:rPr>
        <w:t xml:space="preserve">Ludwig von Bertalanffy spent his career arguing that living systems are fundamentally different from machines. A machine runs down. A living system fights back. It imports energy from its environment, repairs its own damage, and maintains itself in a state of dynamic stability that Bertalanffy called Fließgleichgewicht — a flowing equilibrium, a steady state achieved not by stopping but by continuously moving.</w:t>
      </w:r>
    </w:p>
    <w:p>
      <w:pPr>
        <w:spacing w:after="120" w:before="80" w:line="276"/>
      </w:pPr>
      <w:r>
        <w:rPr>
          <w:rFonts w:ascii="Arial" w:cs="Arial" w:eastAsia="Arial" w:hAnsi="Arial"/>
          <w:sz w:val="22"/>
          <w:szCs w:val="22"/>
        </w:rPr>
        <w:t xml:space="preserve">The insight that matters for this document is this: every living system — biological, institutional, civilizational — is engaged in a continuous contest between two forces. Entropy is always working to degrade it, to introduce drift, to loosen the connections between its parts. Restoration is the system’s active response: the negentropic act of repair, realignment, and recovery.</w:t>
      </w:r>
    </w:p>
    <w:p>
      <w:pPr>
        <w:spacing w:after="120" w:before="80" w:line="276"/>
      </w:pPr>
      <w:r>
        <w:rPr>
          <w:rFonts w:ascii="Arial" w:cs="Arial" w:eastAsia="Arial" w:hAnsi="Arial"/>
          <w:sz w:val="22"/>
          <w:szCs w:val="22"/>
        </w:rPr>
        <w:t xml:space="preserve">A system is coherent when restoration keeps pace with drift. It begins to fail when drift outpaces restoration. And it collapses when the accumulated drift exceeds the system’s capacity to recover.</w:t>
      </w:r>
    </w:p>
    <w:p>
      <w:pPr>
        <w:spacing w:after="120" w:before="80" w:line="276"/>
      </w:pPr>
      <w:r>
        <w:rPr>
          <w:rFonts w:ascii="Arial" w:cs="Arial" w:eastAsia="Arial" w:hAnsi="Arial"/>
          <w:sz w:val="22"/>
          <w:szCs w:val="22"/>
        </w:rPr>
        <w:t xml:space="preserve">This is not a metaphor. It is the structural reality that GYOR measures. The equation at the foundation of the framework is straightforward:</w:t>
      </w:r>
    </w:p>
    <w:p>
      <w:pPr>
        <w:spacing w:after="160" w:before="160"/>
        <w:ind w:left="720"/>
      </w:pPr>
      <w:r>
        <w:rPr>
          <w:rFonts w:ascii="Courier New" w:cs="Courier New" w:eastAsia="Courier New" w:hAnsi="Courier New"/>
          <w:b/>
          <w:bCs/>
          <w:color w:val="1F4E79"/>
          <w:sz w:val="26"/>
          <w:szCs w:val="26"/>
        </w:rPr>
        <w:t xml:space="preserve">dC/dt = R(t) − D(t)</w:t>
      </w:r>
    </w:p>
    <w:p>
      <w:pPr>
        <w:spacing w:after="120" w:before="80" w:line="276"/>
      </w:pPr>
      <w:r>
        <w:rPr>
          <w:rFonts w:ascii="Arial" w:cs="Arial" w:eastAsia="Arial" w:hAnsi="Arial"/>
          <w:sz w:val="22"/>
          <w:szCs w:val="22"/>
        </w:rPr>
        <w:t xml:space="preserve">Coherence changes at a rate equal to restoration minus drift. When R exceeds D, the system grows in coherence. When D exceeds R, it degrades. When accumulated drift exhausts the system’s structural capacity, rupture follows.</w:t>
      </w:r>
    </w:p>
    <w:p>
      <w:pPr>
        <w:spacing w:after="80" w:before="200"/>
        <w:jc w:val="center"/>
      </w:pPr>
      <w:r>
        <w:drawing>
          <wp:inline distT="0" distB="0" distL="0" distR="0">
            <wp:extent cx="5905500" cy="22288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5905500" cy="2228850"/>
                    </a:xfrm>
                    <a:prstGeom prst="rect">
                      <a:avLst/>
                    </a:prstGeom>
                  </pic:spPr>
                </pic:pic>
              </a:graphicData>
            </a:graphic>
          </wp:inline>
        </w:drawing>
      </w:r>
    </w:p>
    <w:p>
      <w:pPr>
        <w:spacing w:after="200" w:before="0"/>
        <w:jc w:val="center"/>
      </w:pPr>
      <w:r>
        <w:rPr>
          <w:rFonts w:ascii="Arial" w:cs="Arial" w:eastAsia="Arial" w:hAnsi="Arial"/>
          <w:i/>
          <w:iCs/>
          <w:color w:val="666666"/>
          <w:sz w:val="18"/>
          <w:szCs w:val="18"/>
        </w:rPr>
        <w:t xml:space="preserve">Figure 1. The Equation of Survival — R(t) and D(t) as opposing forces governing coherence.</w:t>
      </w:r>
    </w:p>
    <w:p>
      <w:pPr>
        <w:spacing w:after="120" w:before="80" w:line="276"/>
      </w:pPr>
      <w:r>
        <w:rPr>
          <w:rFonts w:ascii="Arial" w:cs="Arial" w:eastAsia="Arial" w:hAnsi="Arial"/>
          <w:sz w:val="22"/>
          <w:szCs w:val="22"/>
        </w:rPr>
        <w:t xml:space="preserve">Bertalanffy described this condition qualitatively across biology, psychology, and social systems. GYOR gives it a readable coordinate system — one that requires no instruments, only observation.</w:t>
      </w:r>
    </w:p>
    <w:p>
      <w:pPr>
        <w:pBdr>
          <w:bottom w:val="single" w:color="CCCCCC" w:sz="4" w:space="1"/>
        </w:pBdr>
        <w:spacing w:after="200" w:before="200"/>
      </w:pPr>
    </w:p>
    <w:p>
      <w:pPr>
        <w:pStyle w:val="Heading1"/>
        <w:spacing w:after="180" w:before="360"/>
      </w:pPr>
      <w:r>
        <w:rPr>
          <w:rFonts w:ascii="Arial" w:cs="Arial" w:eastAsia="Arial" w:hAnsi="Arial"/>
          <w:b/>
          <w:bCs/>
          <w:sz w:val="32"/>
          <w:szCs w:val="32"/>
        </w:rPr>
        <w:t xml:space="preserve">Part II: The GYOR Lens</w:t>
      </w:r>
    </w:p>
    <w:p>
      <w:pPr>
        <w:pStyle w:val="Heading2"/>
        <w:spacing w:after="140" w:before="280"/>
      </w:pPr>
      <w:r>
        <w:rPr>
          <w:rFonts w:ascii="Arial" w:cs="Arial" w:eastAsia="Arial" w:hAnsi="Arial"/>
          <w:b/>
          <w:bCs/>
          <w:sz w:val="26"/>
          <w:szCs w:val="26"/>
        </w:rPr>
        <w:t xml:space="preserve">Four States, One String</w:t>
      </w:r>
    </w:p>
    <w:p>
      <w:pPr>
        <w:spacing w:after="120" w:before="80" w:line="276"/>
      </w:pPr>
      <w:r>
        <w:rPr>
          <w:rFonts w:ascii="Arial" w:cs="Arial" w:eastAsia="Arial" w:hAnsi="Arial"/>
          <w:sz w:val="22"/>
          <w:szCs w:val="22"/>
        </w:rPr>
        <w:t xml:space="preserve">Every system, at every moment, occupies one of four structural states. Together they form the GYOR sequence — the morphological trail every failing system leaves.</w:t>
      </w:r>
    </w:p>
    <w:p>
      <w:pPr>
        <w:spacing w:after="80" w:before="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3600"/>
        <w:gridCol w:w="4160"/>
      </w:tblGrid>
      <w:tr>
        <w:tc>
          <w:tcPr>
            <w:tcW w:type="dxa" w:w="16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State</w:t>
            </w:r>
          </w:p>
        </w:tc>
        <w:tc>
          <w:tcPr>
            <w:tcW w:type="dxa" w:w="36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What It Means</w:t>
            </w:r>
          </w:p>
        </w:tc>
        <w:tc>
          <w:tcPr>
            <w:tcW w:type="dxa" w:w="416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What You Can Observe</w:t>
            </w:r>
          </w:p>
        </w:tc>
      </w:tr>
      <w:tr>
        <w:tc>
          <w:tcPr>
            <w:tcW w:type="dxa" w:w="16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 — Green</w:t>
            </w:r>
          </w:p>
        </w:tc>
        <w:tc>
          <w:tcPr>
            <w:tcW w:type="dxa" w:w="36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Stable coherence. Restoration is keeping pace with drift. The system is functioning as designed.</w:t>
            </w:r>
          </w:p>
        </w:tc>
        <w:tc>
          <w:tcPr>
            <w:tcW w:type="dxa" w:w="41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Normal operations. Predictable outputs. No accumulating backlogs or deferred maintenance.</w:t>
            </w:r>
          </w:p>
        </w:tc>
      </w:tr>
      <w:tr>
        <w:tc>
          <w:tcPr>
            <w:tcW w:type="dxa" w:w="16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Y — Yellow</w:t>
            </w:r>
          </w:p>
        </w:tc>
        <w:tc>
          <w:tcPr>
            <w:tcW w:type="dxa" w:w="36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Detectable drift. Degradation is visible and measurable. Restoration is occurring but falling behind.</w:t>
            </w:r>
          </w:p>
        </w:tc>
        <w:tc>
          <w:tcPr>
            <w:tcW w:type="dxa" w:w="41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Anomalies that are acknowledged but not resolved. Workarounds that become normalized. Warning signals that are explained away.</w:t>
            </w:r>
          </w:p>
        </w:tc>
      </w:tr>
      <w:tr>
        <w:tc>
          <w:tcPr>
            <w:tcW w:type="dxa" w:w="16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O — Orange</w:t>
            </w:r>
          </w:p>
        </w:tc>
        <w:tc>
          <w:tcPr>
            <w:tcW w:type="dxa" w:w="36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Latent collapse. Hidden structural failure is accumulating beneath the surface. The system may still appear functional.</w:t>
            </w:r>
          </w:p>
        </w:tc>
        <w:tc>
          <w:tcPr>
            <w:tcW w:type="dxa" w:w="41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The gap between official narrative and observable reality widens. Key dependencies become invisible. Interventions stop working as expected.</w:t>
            </w:r>
          </w:p>
        </w:tc>
      </w:tr>
      <w:tr>
        <w:tc>
          <w:tcPr>
            <w:tcW w:type="dxa" w:w="16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R — Red</w:t>
            </w:r>
          </w:p>
        </w:tc>
        <w:tc>
          <w:tcPr>
            <w:tcW w:type="dxa" w:w="36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Rupture. The structural seam has crossed. Coherence has collapsed. This is the event the world notices.</w:t>
            </w:r>
          </w:p>
        </w:tc>
        <w:tc>
          <w:tcPr>
            <w:tcW w:type="dxa" w:w="41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The explosion. The meltdown. The collapse. The moment that makes headlines — which was already inevitable long before it arrived.</w:t>
            </w:r>
          </w:p>
        </w:tc>
      </w:tr>
    </w:tbl>
    <w:p>
      <w:pPr>
        <w:spacing w:after="80" w:before="160"/>
      </w:pPr>
    </w:p>
    <w:p>
      <w:pPr>
        <w:spacing w:after="120" w:before="80" w:line="276"/>
      </w:pPr>
      <w:r>
        <w:rPr>
          <w:rFonts w:ascii="Arial" w:cs="Arial" w:eastAsia="Arial" w:hAnsi="Arial"/>
          <w:sz w:val="22"/>
          <w:szCs w:val="22"/>
        </w:rPr>
        <w:t xml:space="preserve">The canonical deterioration sequence is G → Y → O → R. A system drifts visibly before it collapses silently before it ruptures publicly. The duration of each phase — expressed as a number in parentheses — encodes the structural geometry of the failure.</w:t>
      </w:r>
    </w:p>
    <w:p>
      <w:pPr>
        <w:spacing w:after="80" w:before="200"/>
        <w:jc w:val="center"/>
      </w:pPr>
      <w:r>
        <w:drawing>
          <wp:inline distT="0" distB="0" distL="0" distR="0">
            <wp:extent cx="5905500" cy="19716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905500" cy="1971675"/>
                    </a:xfrm>
                    <a:prstGeom prst="rect">
                      <a:avLst/>
                    </a:prstGeom>
                  </pic:spPr>
                </pic:pic>
              </a:graphicData>
            </a:graphic>
          </wp:inline>
        </w:drawing>
      </w:r>
    </w:p>
    <w:p>
      <w:pPr>
        <w:spacing w:after="200" w:before="0"/>
        <w:jc w:val="center"/>
      </w:pPr>
      <w:r>
        <w:rPr>
          <w:rFonts w:ascii="Arial" w:cs="Arial" w:eastAsia="Arial" w:hAnsi="Arial"/>
          <w:i/>
          <w:iCs/>
          <w:color w:val="666666"/>
          <w:sz w:val="18"/>
          <w:szCs w:val="18"/>
        </w:rPr>
        <w:t xml:space="preserve">Figure 2. The GYOR Sequence — four structural states, one morphological trail.</w:t>
      </w:r>
    </w:p>
    <w:p>
      <w:pPr>
        <w:pBdr>
          <w:top w:val="single" w:color="2E74B5" w:sz="6" w:space="4"/>
        </w:pBdr>
        <w:spacing w:after="0" w:before="240"/>
      </w:pPr>
    </w:p>
    <w:p>
      <w:pPr>
        <w:shd w:fill="EEF4FB" w:val="clear"/>
        <w:spacing w:after="0" w:before="0"/>
      </w:pPr>
      <w:r>
        <w:rPr>
          <w:rFonts w:ascii="Arial" w:cs="Arial" w:eastAsia="Arial" w:hAnsi="Arial"/>
          <w:b/>
          <w:bCs/>
          <w:color w:val="1F4E79"/>
          <w:sz w:val="20"/>
          <w:szCs w:val="20"/>
        </w:rPr>
        <w:t xml:space="preserve">REGIME-STABLE UNITS: WHAT Y(n) AND O(n) ACTUALLY COUNT</w:t>
      </w:r>
    </w:p>
    <w:p>
      <w:pPr>
        <w:shd w:fill="EEF4FB" w:val="clear"/>
        <w:spacing w:after="80" w:before="100"/>
      </w:pPr>
      <w:r>
        <w:rPr>
          <w:rFonts w:ascii="Arial" w:cs="Arial" w:eastAsia="Arial" w:hAnsi="Arial"/>
          <w:sz w:val="20"/>
          <w:szCs w:val="20"/>
        </w:rPr>
        <w:t xml:space="preserve">A Yellow or Orange number does not measure days, weeks, or years. It measures how long a system remains in a structurally stable regime — a period in which the underlying conditions of drift or latent collapse remain active and internally consistent.</w:t>
      </w:r>
    </w:p>
    <w:p>
      <w:pPr>
        <w:spacing w:after="60" w:before="80"/>
      </w:pPr>
      <w:r>
        <w:rPr>
          <w:rFonts w:ascii="Arial" w:cs="Arial" w:eastAsia="Arial" w:hAnsi="Arial"/>
          <w:b/>
          <w:bCs/>
          <w:sz w:val="20"/>
          <w:szCs w:val="20"/>
        </w:rPr>
        <w:t xml:space="preserve">A regime-stable interval is a contiguous period in which:</w:t>
      </w:r>
    </w:p>
    <w:p>
      <w:pPr>
        <w:pStyle w:val="ListParagraph"/>
        <w:numPr>
          <w:ilvl w:val="0"/>
          <w:numId w:val="2"/>
        </w:numPr>
        <w:spacing w:after="40" w:before="40"/>
      </w:pPr>
      <w:r>
        <w:rPr>
          <w:rFonts w:ascii="Arial" w:cs="Arial" w:eastAsia="Arial" w:hAnsi="Arial"/>
          <w:sz w:val="20"/>
          <w:szCs w:val="20"/>
        </w:rPr>
        <w:t xml:space="preserve">the system’s coherence derivative keeps the same sign</w:t>
      </w:r>
    </w:p>
    <w:p>
      <w:pPr>
        <w:pStyle w:val="ListParagraph"/>
        <w:numPr>
          <w:ilvl w:val="0"/>
          <w:numId w:val="2"/>
        </w:numPr>
        <w:spacing w:after="40" w:before="40"/>
      </w:pPr>
      <w:r>
        <w:rPr>
          <w:rFonts w:ascii="Arial" w:cs="Arial" w:eastAsia="Arial" w:hAnsi="Arial"/>
          <w:sz w:val="20"/>
          <w:szCs w:val="20"/>
        </w:rPr>
        <w:t xml:space="preserve">the same operator set remains active (drift operators in Yellow, collapse-onset operators in Orange)</w:t>
      </w:r>
    </w:p>
    <w:p>
      <w:pPr>
        <w:pStyle w:val="ListParagraph"/>
        <w:numPr>
          <w:ilvl w:val="0"/>
          <w:numId w:val="2"/>
        </w:numPr>
        <w:spacing w:after="80" w:before="40"/>
      </w:pPr>
      <w:r>
        <w:rPr>
          <w:rFonts w:ascii="Arial" w:cs="Arial" w:eastAsia="Arial" w:hAnsi="Arial"/>
          <w:sz w:val="20"/>
          <w:szCs w:val="20"/>
        </w:rPr>
        <w:t xml:space="preserve">the system does not transition into a different structural state</w:t>
      </w:r>
    </w:p>
    <w:p>
      <w:pPr>
        <w:spacing w:after="60" w:before="80"/>
      </w:pPr>
      <w:r>
        <w:rPr>
          <w:rFonts w:ascii="Arial" w:cs="Arial" w:eastAsia="Arial" w:hAnsi="Arial"/>
          <w:b/>
          <w:bCs/>
          <w:color w:val="C8A030"/>
          <w:sz w:val="20"/>
          <w:szCs w:val="20"/>
        </w:rPr>
        <w:t xml:space="preserve">Y(n) — Drift-Regime Interval Count</w:t>
      </w:r>
    </w:p>
    <w:p>
      <w:pPr>
        <w:spacing w:after="80" w:before="0"/>
      </w:pPr>
      <w:r>
        <w:rPr>
          <w:rFonts w:ascii="Arial" w:cs="Arial" w:eastAsia="Arial" w:hAnsi="Arial"/>
          <w:sz w:val="20"/>
          <w:szCs w:val="20"/>
        </w:rPr>
        <w:t xml:space="preserve">Y(n) counts intervals during which the system remains in detectable drift: restoration is occurring but falling behind, anomalies accumulate, and drift operators remain persistently active. A Y-unit ends only when the system either restores coherence (returns toward Green) or crosses into latent collapse (Orange).</w:t>
      </w:r>
    </w:p>
    <w:p>
      <w:pPr>
        <w:spacing w:after="60" w:before="80"/>
      </w:pPr>
      <w:r>
        <w:rPr>
          <w:rFonts w:ascii="Arial" w:cs="Arial" w:eastAsia="Arial" w:hAnsi="Arial"/>
          <w:b/>
          <w:bCs/>
          <w:color w:val="C86020"/>
          <w:sz w:val="20"/>
          <w:szCs w:val="20"/>
        </w:rPr>
        <w:t xml:space="preserve">O(n) — Latent-Collapse Interval Count</w:t>
      </w:r>
    </w:p>
    <w:p>
      <w:pPr>
        <w:spacing w:after="80" w:before="0"/>
      </w:pPr>
      <w:r>
        <w:rPr>
          <w:rFonts w:ascii="Arial" w:cs="Arial" w:eastAsia="Arial" w:hAnsi="Arial"/>
          <w:sz w:val="20"/>
          <w:szCs w:val="20"/>
        </w:rPr>
        <w:t xml:space="preserve">O(n) counts intervals during which the system remains in latent collapse: structural failure is accumulating beneath the surface, collapse-onset operators remain active, and observability is suppressed. An O-unit ends only when the system either ruptures (Red) or receives a restoration shock strong enough to pull it back toward Yellow.</w:t>
      </w:r>
    </w:p>
    <w:p>
      <w:pPr>
        <w:spacing w:after="60" w:before="80"/>
      </w:pPr>
      <w:r>
        <w:rPr>
          <w:rFonts w:ascii="Arial" w:cs="Arial" w:eastAsia="Arial" w:hAnsi="Arial"/>
          <w:b/>
          <w:bCs/>
          <w:color w:val="1F4E79"/>
          <w:sz w:val="20"/>
          <w:szCs w:val="20"/>
        </w:rPr>
        <w:t xml:space="preserve">Why This Matters</w:t>
      </w:r>
    </w:p>
    <w:p>
      <w:pPr>
        <w:spacing w:after="80" w:before="0"/>
      </w:pPr>
      <w:r>
        <w:rPr>
          <w:rFonts w:ascii="Arial" w:cs="Arial" w:eastAsia="Arial" w:hAnsi="Arial"/>
          <w:sz w:val="20"/>
          <w:szCs w:val="20"/>
        </w:rPr>
        <w:t xml:space="preserve">Because Y(n) and O(n) measure structural dwell time, not chronological duration, two systems with identical GYOR strings may differ by orders of magnitude in calendar time. What the notation captures is geometry, not duration — the shape of the failure, not the length of the calendar. This is what makes Suez, Boeing, SARS, and Sudan commensurable despite their radically different time scales.</w:t>
      </w:r>
    </w:p>
    <w:p>
      <w:pPr>
        <w:pBdr>
          <w:bottom w:val="single" w:color="2E74B5" w:sz="6" w:space="4"/>
        </w:pBdr>
        <w:spacing w:after="240" w:before="0"/>
      </w:pPr>
    </w:p>
    <w:p>
      <w:pPr>
        <w:pStyle w:val="Heading2"/>
        <w:spacing w:after="140" w:before="280"/>
      </w:pPr>
      <w:r>
        <w:rPr>
          <w:rFonts w:ascii="Arial" w:cs="Arial" w:eastAsia="Arial" w:hAnsi="Arial"/>
          <w:b/>
          <w:bCs/>
          <w:sz w:val="26"/>
          <w:szCs w:val="26"/>
        </w:rPr>
        <w:t xml:space="preserve">Reading a GYOR String</w:t>
      </w:r>
    </w:p>
    <w:p>
      <w:pPr>
        <w:spacing w:after="120" w:before="80" w:line="276"/>
      </w:pPr>
      <w:r>
        <w:rPr>
          <w:rFonts w:ascii="Arial" w:cs="Arial" w:eastAsia="Arial" w:hAnsi="Arial"/>
          <w:sz w:val="22"/>
          <w:szCs w:val="22"/>
        </w:rPr>
        <w:t xml:space="preserve">A GYOR string is a complete structural signature for a systemic event. Consider two examples from the 24-case reconstruction corpus:</w:t>
      </w:r>
    </w:p>
    <w:p>
      <w:pPr>
        <w:spacing w:after="100" w:before="100"/>
        <w:ind w:left="720"/>
      </w:pPr>
      <w:r>
        <w:rPr>
          <w:rFonts w:ascii="Courier New" w:cs="Courier New" w:eastAsia="Courier New" w:hAnsi="Courier New"/>
          <w:b/>
          <w:bCs/>
          <w:color w:val="1F4E79"/>
          <w:sz w:val="24"/>
          <w:szCs w:val="24"/>
        </w:rPr>
        <w:t xml:space="preserve">G(·) Y(1) O(23) R(1)</w:t>
      </w:r>
      <w:r>
        <w:rPr>
          <w:rFonts w:ascii="Arial" w:cs="Arial" w:eastAsia="Arial" w:hAnsi="Arial"/>
          <w:i/>
          <w:iCs/>
          <w:color w:val="555555"/>
          <w:sz w:val="20"/>
          <w:szCs w:val="20"/>
        </w:rPr>
        <w:t xml:space="preserve">   — Texas City / Bhopal morphology</w:t>
      </w:r>
    </w:p>
    <w:p>
      <w:pPr>
        <w:spacing w:after="120" w:before="80" w:line="276"/>
      </w:pPr>
      <w:r>
        <w:rPr>
          <w:rFonts w:ascii="Arial" w:cs="Arial" w:eastAsia="Arial" w:hAnsi="Arial"/>
          <w:sz w:val="22"/>
          <w:szCs w:val="22"/>
        </w:rPr>
        <w:t xml:space="preserve">Almost no visible warning. Massive hidden collapse. Maximum surprise at rupture. The system appeared Green until it was almost gone.</w:t>
      </w:r>
    </w:p>
    <w:p>
      <w:pPr>
        <w:spacing w:before="80"/>
      </w:pPr>
    </w:p>
    <w:p>
      <w:pPr>
        <w:spacing w:after="100" w:before="100"/>
        <w:ind w:left="720"/>
      </w:pPr>
      <w:r>
        <w:rPr>
          <w:rFonts w:ascii="Courier New" w:cs="Courier New" w:eastAsia="Courier New" w:hAnsi="Courier New"/>
          <w:b/>
          <w:bCs/>
          <w:color w:val="1F4E79"/>
          <w:sz w:val="24"/>
          <w:szCs w:val="24"/>
        </w:rPr>
        <w:t xml:space="preserve">G(·) Y(9) O(9) R(1)</w:t>
      </w:r>
      <w:r>
        <w:rPr>
          <w:rFonts w:ascii="Arial" w:cs="Arial" w:eastAsia="Arial" w:hAnsi="Arial"/>
          <w:i/>
          <w:iCs/>
          <w:color w:val="555555"/>
          <w:sz w:val="20"/>
          <w:szCs w:val="20"/>
        </w:rPr>
        <w:t xml:space="preserve">   — 2008 GFC morphology</w:t>
      </w:r>
    </w:p>
    <w:p>
      <w:pPr>
        <w:spacing w:after="120" w:before="80" w:line="276"/>
      </w:pPr>
      <w:r>
        <w:rPr>
          <w:rFonts w:ascii="Arial" w:cs="Arial" w:eastAsia="Arial" w:hAnsi="Arial"/>
          <w:sz w:val="22"/>
          <w:szCs w:val="22"/>
        </w:rPr>
        <w:t xml:space="preserve">Extended visible drift followed by equal hidden collapse. Intervention was possible during Y(9) but was not taken. Mixed-mode morphology: the crisis was both announced and hidden simultaneously.</w:t>
      </w:r>
    </w:p>
    <w:p>
      <w:pPr>
        <w:spacing w:before="80"/>
      </w:pPr>
    </w:p>
    <w:p>
      <w:pPr>
        <w:spacing w:after="100" w:before="100"/>
        <w:ind w:left="720"/>
      </w:pPr>
      <w:r>
        <w:rPr>
          <w:rFonts w:ascii="Courier New" w:cs="Courier New" w:eastAsia="Courier New" w:hAnsi="Courier New"/>
          <w:b/>
          <w:bCs/>
          <w:color w:val="1F4E79"/>
          <w:sz w:val="24"/>
          <w:szCs w:val="24"/>
        </w:rPr>
        <w:t xml:space="preserve">G(·) Y(8)[L6] → G*</w:t>
      </w:r>
      <w:r>
        <w:rPr>
          <w:rFonts w:ascii="Arial" w:cs="Arial" w:eastAsia="Arial" w:hAnsi="Arial"/>
          <w:i/>
          <w:iCs/>
          <w:color w:val="555555"/>
          <w:sz w:val="20"/>
          <w:szCs w:val="20"/>
        </w:rPr>
        <w:t xml:space="preserve">   — Southwest Airlines — Semantic Rupture</w:t>
      </w:r>
    </w:p>
    <w:p>
      <w:pPr>
        <w:spacing w:after="120" w:before="80" w:line="276"/>
      </w:pPr>
      <w:r>
        <w:rPr>
          <w:rFonts w:ascii="Arial" w:cs="Arial" w:eastAsia="Arial" w:hAnsi="Arial"/>
          <w:sz w:val="22"/>
          <w:szCs w:val="22"/>
        </w:rPr>
        <w:t xml:space="preserve">Eight units of drift across all six structural layers simultaneously. No Orange, no Red. The system never crossed into structural collapse — but the meaning layer snapped first, forcing simultaneous intervention across every layer. G* denotes a new stable geometry: the Southwest that emerged is structurally different from the one that entered drift.</w:t>
      </w:r>
    </w:p>
    <w:p>
      <w:pPr>
        <w:pStyle w:val="Heading2"/>
        <w:spacing w:after="140" w:before="280"/>
      </w:pPr>
      <w:r>
        <w:rPr>
          <w:rFonts w:ascii="Arial" w:cs="Arial" w:eastAsia="Arial" w:hAnsi="Arial"/>
          <w:b/>
          <w:bCs/>
          <w:sz w:val="26"/>
          <w:szCs w:val="26"/>
        </w:rPr>
        <w:t xml:space="preserve">The Biogenic Sensor</w:t>
      </w:r>
    </w:p>
    <w:p>
      <w:pPr>
        <w:spacing w:after="120" w:before="80" w:line="276"/>
      </w:pPr>
      <w:r>
        <w:rPr>
          <w:rFonts w:ascii="Arial" w:cs="Arial" w:eastAsia="Arial" w:hAnsi="Arial"/>
          <w:sz w:val="22"/>
          <w:szCs w:val="22"/>
        </w:rPr>
        <w:t xml:space="preserve">Before any instrument registers a crack, the biological sensor detects seepage. This is S0 in the UCMS seam ledger — the pre-instrumental layer. Experienced operators, community members, and even animals register what might be called the Bad Vibe: the barometric intuition that something is wrong before anything has formally broken.</w:t>
      </w:r>
    </w:p>
    <w:p>
      <w:pPr>
        <w:spacing w:after="120" w:before="80" w:line="276"/>
      </w:pPr>
      <w:r>
        <w:rPr>
          <w:rFonts w:ascii="Arial" w:cs="Arial" w:eastAsia="Arial" w:hAnsi="Arial"/>
          <w:sz w:val="22"/>
          <w:szCs w:val="22"/>
        </w:rPr>
        <w:t xml:space="preserve">The Bad Vibe is not mysticism. It is the S0 detection of structural drift that has not yet produced a measurable signal in the engineering or operational layers. When the vibe is in drift, the seams are already stretching. The GYOR framework does not dismiss this signal. It treats it as the first indicator of a Yellow phase that instruments have not yet confirmed.</w:t>
      </w:r>
    </w:p>
    <w:p>
      <w:pPr>
        <w:spacing w:after="120" w:before="80" w:line="276"/>
      </w:pPr>
      <w:r>
        <w:rPr>
          <w:rFonts w:ascii="Arial" w:cs="Arial" w:eastAsia="Arial" w:hAnsi="Arial"/>
          <w:sz w:val="22"/>
          <w:szCs w:val="22"/>
        </w:rPr>
        <w:t xml:space="preserve">Altamont 1969 is the canonical demonstration. Before the violence, before the structural failure of the event’s security architecture, the crowd felt it. The morphology traces: G → Y → O → R(1). The S0 signal preceded every measurable indicator. The Bad Vibe was the earliest Yellow.</w:t>
      </w:r>
    </w:p>
    <w:p>
      <w:pPr>
        <w:pBdr>
          <w:bottom w:val="single" w:color="CCCCCC" w:sz="4" w:space="1"/>
        </w:pBdr>
        <w:spacing w:after="200" w:before="200"/>
      </w:pPr>
    </w:p>
    <w:p>
      <w:pPr>
        <w:pStyle w:val="Heading1"/>
        <w:spacing w:after="180" w:before="360"/>
      </w:pPr>
      <w:r>
        <w:rPr>
          <w:rFonts w:ascii="Arial" w:cs="Arial" w:eastAsia="Arial" w:hAnsi="Arial"/>
          <w:b/>
          <w:bCs/>
          <w:sz w:val="32"/>
          <w:szCs w:val="32"/>
        </w:rPr>
        <w:t xml:space="preserve">Part III: Sudan — The Proof of Accessibility</w:t>
      </w:r>
    </w:p>
    <w:p>
      <w:pPr>
        <w:pStyle w:val="Heading2"/>
        <w:spacing w:after="140" w:before="280"/>
      </w:pPr>
      <w:r>
        <w:rPr>
          <w:rFonts w:ascii="Arial" w:cs="Arial" w:eastAsia="Arial" w:hAnsi="Arial"/>
          <w:b/>
          <w:bCs/>
          <w:sz w:val="26"/>
          <w:szCs w:val="26"/>
        </w:rPr>
        <w:t xml:space="preserve">Why Sudan</w:t>
      </w:r>
    </w:p>
    <w:p>
      <w:pPr>
        <w:spacing w:after="120" w:before="80" w:line="276"/>
      </w:pPr>
      <w:r>
        <w:rPr>
          <w:rFonts w:ascii="Arial" w:cs="Arial" w:eastAsia="Arial" w:hAnsi="Arial"/>
          <w:sz w:val="22"/>
          <w:szCs w:val="22"/>
        </w:rPr>
        <w:t xml:space="preserve">The central claim of this document is that GYOR is readable from casual observational knowledge of public events. You do not need proprietary data. You do not need instruments. If you have been following the news, you already have enough signal to trace the morphology.</w:t>
      </w:r>
    </w:p>
    <w:p>
      <w:pPr>
        <w:spacing w:after="120" w:before="80" w:line="276"/>
      </w:pPr>
      <w:r>
        <w:rPr>
          <w:rFonts w:ascii="Arial" w:cs="Arial" w:eastAsia="Arial" w:hAnsi="Arial"/>
          <w:sz w:val="22"/>
          <w:szCs w:val="22"/>
        </w:rPr>
        <w:t xml:space="preserve">Sudan is the proof of that claim. It is also the most structurally complex case in the UCMS corpus — not because it is exotic, but because it demonstrates something none of the other 24 cases can: a two-rupture system within a single continuous coherence arc, where the first rupture fed directly into the precursor geometry of the second.</w:t>
      </w:r>
    </w:p>
    <w:p>
      <w:pPr>
        <w:pStyle w:val="Heading2"/>
        <w:spacing w:after="140" w:before="280"/>
      </w:pPr>
      <w:r>
        <w:rPr>
          <w:rFonts w:ascii="Arial" w:cs="Arial" w:eastAsia="Arial" w:hAnsi="Arial"/>
          <w:b/>
          <w:bCs/>
          <w:sz w:val="26"/>
          <w:szCs w:val="26"/>
        </w:rPr>
        <w:t xml:space="preserve">The Two-Rupture Arc</w:t>
      </w:r>
    </w:p>
    <w:p>
      <w:pPr>
        <w:spacing w:after="120" w:before="80" w:line="276"/>
      </w:pPr>
      <w:r>
        <w:rPr>
          <w:rFonts w:ascii="Arial" w:cs="Arial" w:eastAsia="Arial" w:hAnsi="Arial"/>
          <w:sz w:val="22"/>
          <w:szCs w:val="22"/>
        </w:rPr>
        <w:t xml:space="preserve">Sudan’s GYOR morphology across the full arc reads:</w:t>
      </w:r>
    </w:p>
    <w:p>
      <w:pPr>
        <w:spacing w:after="100" w:before="100"/>
        <w:ind w:left="720"/>
      </w:pPr>
      <w:r>
        <w:rPr>
          <w:rFonts w:ascii="Courier New" w:cs="Courier New" w:eastAsia="Courier New" w:hAnsi="Courier New"/>
          <w:b/>
          <w:bCs/>
          <w:color w:val="1F4E79"/>
          <w:sz w:val="24"/>
          <w:szCs w:val="24"/>
        </w:rPr>
        <w:t xml:space="preserve">G → Y(7) O(8) R(6) → G(1) Y(3) O(4) R(7)</w:t>
      </w:r>
      <w:r>
        <w:rPr>
          <w:rFonts w:ascii="Arial" w:cs="Arial" w:eastAsia="Arial" w:hAnsi="Arial"/>
          <w:i/>
          <w:iCs/>
          <w:color w:val="555555"/>
          <w:sz w:val="20"/>
          <w:szCs w:val="20"/>
        </w:rPr>
        <w:t xml:space="preserve">   — Sudan 2019–2026 — long-arc continuous degradation</w:t>
      </w:r>
    </w:p>
    <w:p>
      <w:pPr>
        <w:spacing w:after="80" w:before="200"/>
        <w:jc w:val="center"/>
      </w:pPr>
      <w:r>
        <w:drawing>
          <wp:inline distT="0" distB="0" distL="0" distR="0">
            <wp:extent cx="5905500" cy="24860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905500" cy="2486025"/>
                    </a:xfrm>
                    <a:prstGeom prst="rect">
                      <a:avLst/>
                    </a:prstGeom>
                  </pic:spPr>
                </pic:pic>
              </a:graphicData>
            </a:graphic>
          </wp:inline>
        </w:drawing>
      </w:r>
    </w:p>
    <w:p>
      <w:pPr>
        <w:spacing w:after="200" w:before="0"/>
        <w:jc w:val="center"/>
      </w:pPr>
      <w:r>
        <w:rPr>
          <w:rFonts w:ascii="Arial" w:cs="Arial" w:eastAsia="Arial" w:hAnsi="Arial"/>
          <w:i/>
          <w:iCs/>
          <w:color w:val="666666"/>
          <w:sz w:val="18"/>
          <w:szCs w:val="18"/>
        </w:rPr>
        <w:t xml:space="preserve">Figure 4. Sudan Two-Rupture Arc — a single continuous degradation story; the second arc begins from a depleted baseline.</w:t>
      </w:r>
    </w:p>
    <w:p>
      <w:pPr>
        <w:spacing w:after="120" w:before="80" w:line="276"/>
      </w:pPr>
      <w:r>
        <w:rPr>
          <w:rFonts w:ascii="Arial" w:cs="Arial" w:eastAsia="Arial" w:hAnsi="Arial"/>
          <w:sz w:val="22"/>
          <w:szCs w:val="22"/>
        </w:rPr>
        <w:t xml:space="preserve">The first rupture — Y(7) O(8) R(6) — is historical and reconstructable. The second — Y(3) O(4) R(7) — is ongoing as of March 2026. Together they constitute a single continuous degradation story, not two separate events.</w:t>
      </w:r>
    </w:p>
    <w:p>
      <w:pPr>
        <w:spacing w:after="120" w:before="80" w:line="276"/>
      </w:pPr>
      <w:r>
        <w:rPr>
          <w:rFonts w:ascii="Arial" w:cs="Arial" w:eastAsia="Arial" w:hAnsi="Arial"/>
          <w:sz w:val="22"/>
          <w:szCs w:val="22"/>
        </w:rPr>
        <w:t xml:space="preserve">What makes this morphology critical is the baseline problem. The second rupture did not begin from Green. It began from a system that had never fully restored coherence after the first. The compressed Y(3) and O(4) phases in the second arc are only legible in light of the first arc’s depth. A system entering a second precursor window from a degraded baseline moves faster and deeper than the numbers alone suggest.</w:t>
      </w:r>
    </w:p>
    <w:p>
      <w:pPr>
        <w:pStyle w:val="Heading2"/>
        <w:spacing w:after="140" w:before="280"/>
      </w:pPr>
      <w:r>
        <w:rPr>
          <w:rFonts w:ascii="Arial" w:cs="Arial" w:eastAsia="Arial" w:hAnsi="Arial"/>
          <w:b/>
          <w:bCs/>
          <w:sz w:val="26"/>
          <w:szCs w:val="26"/>
        </w:rPr>
        <w:t xml:space="preserve">Phase Reconstruction from Public Record</w:t>
      </w:r>
    </w:p>
    <w:p>
      <w:pPr>
        <w:spacing w:after="100" w:before="200"/>
      </w:pPr>
      <w:r>
        <w:rPr>
          <w:rFonts w:ascii="Arial" w:cs="Arial" w:eastAsia="Arial" w:hAnsi="Arial"/>
          <w:b/>
          <w:bCs/>
          <w:color w:val="2E74B5"/>
          <w:sz w:val="24"/>
          <w:szCs w:val="24"/>
        </w:rPr>
        <w:t xml:space="preserve">Phase 1: Controlled Pulse (Retrospective 2019–2021)</w:t>
      </w:r>
    </w:p>
    <w:p>
      <w:pPr>
        <w:spacing w:after="120" w:before="80" w:line="276"/>
      </w:pPr>
      <w:r>
        <w:rPr>
          <w:rFonts w:ascii="Arial" w:cs="Arial" w:eastAsia="Arial" w:hAnsi="Arial"/>
          <w:sz w:val="22"/>
          <w:szCs w:val="22"/>
        </w:rPr>
        <w:t xml:space="preserve">The fall of Omar al-Bashir in 2019 and the subsequent transitional government period represents the Yellow phase of the first arc. Operational seams were decoupling: military and civilian factions were negotiating control, institutional coordination was degrading, but visible restoration activity was occurring. The signal was present in public record for anyone reading it through a GYOR lens.</w:t>
      </w:r>
    </w:p>
    <w:p>
      <w:pPr>
        <w:spacing w:after="100" w:before="200"/>
      </w:pPr>
      <w:r>
        <w:rPr>
          <w:rFonts w:ascii="Arial" w:cs="Arial" w:eastAsia="Arial" w:hAnsi="Arial"/>
          <w:b/>
          <w:bCs/>
          <w:color w:val="2E74B5"/>
          <w:sz w:val="24"/>
          <w:szCs w:val="24"/>
        </w:rPr>
        <w:t xml:space="preserve">Phase 2: Restoration Severing (Retrospective 2021–2023)</w:t>
      </w:r>
    </w:p>
    <w:p>
      <w:pPr>
        <w:spacing w:after="120" w:before="80" w:line="276"/>
      </w:pPr>
      <w:r>
        <w:rPr>
          <w:rFonts w:ascii="Arial" w:cs="Arial" w:eastAsia="Arial" w:hAnsi="Arial"/>
          <w:sz w:val="22"/>
          <w:szCs w:val="22"/>
        </w:rPr>
        <w:t xml:space="preserve">The October 2021 military coup terminated the restoration function. This is the Domicide mechanism — the intentional destruction of R(t). When a system’s restoration capacity is not merely degraded but actively targeted, the differential equation changes character. D(t) continues to accumulate. R(t) approaches zero. The survival margin collapses not gradually but vertically.</w:t>
      </w:r>
    </w:p>
    <w:p>
      <w:pPr>
        <w:spacing w:after="100" w:before="200"/>
      </w:pPr>
      <w:r>
        <w:rPr>
          <w:rFonts w:ascii="Arial" w:cs="Arial" w:eastAsia="Arial" w:hAnsi="Arial"/>
          <w:b/>
          <w:bCs/>
          <w:color w:val="2E74B5"/>
          <w:sz w:val="24"/>
          <w:szCs w:val="24"/>
        </w:rPr>
        <w:t xml:space="preserve">Phase 3: State Evaporation (Active / Ongoing March 2026)</w:t>
      </w:r>
    </w:p>
    <w:p>
      <w:pPr>
        <w:spacing w:after="120" w:before="80" w:line="276"/>
      </w:pPr>
      <w:r>
        <w:rPr>
          <w:rFonts w:ascii="Arial" w:cs="Arial" w:eastAsia="Arial" w:hAnsi="Arial"/>
          <w:sz w:val="22"/>
          <w:szCs w:val="22"/>
        </w:rPr>
        <w:t xml:space="preserve">The April 2023 outbreak of open conflict between the SAF and RSF initiated the second rupture arc. By early 2026, the GCM reconstruction shows a system that has moved from conflict to evaporated state — a condition where no central coherence remains sufficient to facilitate a G-prime reset. The second arc’s R(7) regime reflects not merely rupture but the absence of the structural prerequisites for recovery.</w:t>
      </w:r>
    </w:p>
    <w:p>
      <w:pPr>
        <w:spacing w:after="120" w:before="80" w:line="276"/>
      </w:pPr>
      <w:r>
        <w:rPr>
          <w:rFonts w:ascii="Arial" w:cs="Arial" w:eastAsia="Arial" w:hAnsi="Arial"/>
          <w:sz w:val="22"/>
          <w:szCs w:val="22"/>
        </w:rPr>
        <w:t xml:space="preserve">A political scientist reading Sudan through GYOR does not need to resolve every factual dispute about the conflict. The morphology is legible from the sequence of events that are already on public record: the transitional period, the coup, the Domicide of restoration infrastructure, the second rupture. The string carries the structural signature.</w:t>
      </w:r>
    </w:p>
    <w:p>
      <w:pPr>
        <w:pBdr>
          <w:bottom w:val="single" w:color="CCCCCC" w:sz="4" w:space="1"/>
        </w:pBdr>
        <w:spacing w:after="200" w:before="200"/>
      </w:pPr>
    </w:p>
    <w:p>
      <w:pPr>
        <w:pStyle w:val="Heading1"/>
        <w:spacing w:after="180" w:before="360"/>
      </w:pPr>
      <w:r>
        <w:rPr>
          <w:rFonts w:ascii="Arial" w:cs="Arial" w:eastAsia="Arial" w:hAnsi="Arial"/>
          <w:b/>
          <w:bCs/>
          <w:sz w:val="32"/>
          <w:szCs w:val="32"/>
        </w:rPr>
        <w:t xml:space="preserve">Part IV: The Five Trajectory Classes</w:t>
      </w:r>
    </w:p>
    <w:p>
      <w:pPr>
        <w:spacing w:after="120" w:before="80" w:line="276"/>
      </w:pPr>
      <w:r>
        <w:rPr>
          <w:rFonts w:ascii="Arial" w:cs="Arial" w:eastAsia="Arial" w:hAnsi="Arial"/>
          <w:sz w:val="22"/>
          <w:szCs w:val="22"/>
        </w:rPr>
        <w:t xml:space="preserve">The 24-case reconstruction corpus revealed five distinct trajectory classes. Each has a characteristic GYOR signature. Each produces a recognizable pattern that a social scientist, historian, or economist will find immediately applicable to the systems they study.</w:t>
      </w:r>
    </w:p>
    <w:p>
      <w:pPr>
        <w:spacing w:after="80" w:before="160"/>
      </w:pPr>
    </w:p>
    <w:tbl>
      <w:tblPr>
        <w:tblW w:type="dxa" w:w="91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3360"/>
        <w:gridCol w:w="1800"/>
      </w:tblGrid>
      <w:tr>
        <w:tc>
          <w:tcPr>
            <w:tcW w:type="dxa" w:w="18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Class</w:t>
            </w:r>
          </w:p>
        </w:tc>
        <w:tc>
          <w:tcPr>
            <w:tcW w:type="dxa" w:w="22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GYOR Signature</w:t>
            </w:r>
          </w:p>
        </w:tc>
        <w:tc>
          <w:tcPr>
            <w:tcW w:type="dxa" w:w="336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What It Means</w:t>
            </w:r>
          </w:p>
        </w:tc>
        <w:tc>
          <w:tcPr>
            <w:tcW w:type="dxa" w:w="18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Canonical Case</w:t>
            </w:r>
          </w:p>
        </w:tc>
      </w:tr>
      <w:tr>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Standard Rupture</w:t>
            </w:r>
          </w:p>
        </w:tc>
        <w:tc>
          <w:tcPr>
            <w:tcW w:type="dxa" w:w="22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 Y(n) O(n) R(1)</w:t>
            </w:r>
          </w:p>
        </w:tc>
        <w:tc>
          <w:tcPr>
            <w:tcW w:type="dxa" w:w="33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Balanced drift and collapse. Intervention was possible. Both phases are measurable.</w:t>
            </w:r>
          </w:p>
        </w:tc>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2008 GFC, Enron, Boeing</w:t>
            </w:r>
          </w:p>
        </w:tc>
      </w:tr>
      <w:tr>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Shock Rupture</w:t>
            </w:r>
          </w:p>
        </w:tc>
        <w:tc>
          <w:tcPr>
            <w:tcW w:type="dxa" w:w="22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 R(1)</w:t>
            </w:r>
          </w:p>
        </w:tc>
        <w:tc>
          <w:tcPr>
            <w:tcW w:type="dxa" w:w="33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No precursor geometry. Instantaneous seam collapse. The pre-rupture window does not exist.</w:t>
            </w:r>
          </w:p>
        </w:tc>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Northridge 1994</w:t>
            </w:r>
          </w:p>
        </w:tc>
      </w:tr>
      <w:tr>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Latent-Collapse Rupture</w:t>
            </w:r>
          </w:p>
        </w:tc>
        <w:tc>
          <w:tcPr>
            <w:tcW w:type="dxa" w:w="22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 Y(1) O(20+) R(1)</w:t>
            </w:r>
          </w:p>
        </w:tc>
        <w:tc>
          <w:tcPr>
            <w:tcW w:type="dxa" w:w="33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Minimal visible warning. Maximum hidden collapse. Maximum surprise at rupture.</w:t>
            </w:r>
          </w:p>
        </w:tc>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Texas City, Bhopal, Chernobyl</w:t>
            </w:r>
          </w:p>
        </w:tc>
      </w:tr>
      <w:tr>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Recovery / Reconstitution</w:t>
            </w:r>
          </w:p>
        </w:tc>
        <w:tc>
          <w:tcPr>
            <w:tcW w:type="dxa" w:w="22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 Y(n) O(n) R(1) → G / G*</w:t>
            </w:r>
          </w:p>
        </w:tc>
        <w:tc>
          <w:tcPr>
            <w:tcW w:type="dxa" w:w="33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Rupture followed by return. G* means the system that came back is structurally different from the one that went in.</w:t>
            </w:r>
          </w:p>
        </w:tc>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Chrysler (→G*), Police Org (→G)</w:t>
            </w:r>
          </w:p>
        </w:tc>
      </w:tr>
      <w:tr>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Semantic Rupture</w:t>
            </w:r>
          </w:p>
        </w:tc>
        <w:tc>
          <w:tcPr>
            <w:tcW w:type="dxa" w:w="22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 Y(n)[L6] → G*</w:t>
            </w:r>
          </w:p>
        </w:tc>
        <w:tc>
          <w:tcPr>
            <w:tcW w:type="dxa" w:w="33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The meaning layer crosses before the structural seam does. No formal rupture event — but massive intervention cost.</w:t>
            </w:r>
          </w:p>
        </w:tc>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Southwest Airlines</w:t>
            </w:r>
          </w:p>
        </w:tc>
      </w:tr>
    </w:tbl>
    <w:p>
      <w:pPr>
        <w:spacing w:after="80" w:before="160"/>
      </w:pPr>
    </w:p>
    <w:p>
      <w:pPr>
        <w:spacing w:after="80" w:before="200"/>
        <w:jc w:val="center"/>
      </w:pPr>
      <w:r>
        <w:drawing>
          <wp:inline distT="0" distB="0" distL="0" distR="0">
            <wp:extent cx="5905500" cy="34099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905500" cy="3409950"/>
                    </a:xfrm>
                    <a:prstGeom prst="rect">
                      <a:avLst/>
                    </a:prstGeom>
                  </pic:spPr>
                </pic:pic>
              </a:graphicData>
            </a:graphic>
          </wp:inline>
        </w:drawing>
      </w:r>
    </w:p>
    <w:p>
      <w:pPr>
        <w:spacing w:after="200" w:before="0"/>
        <w:jc w:val="center"/>
      </w:pPr>
      <w:r>
        <w:rPr>
          <w:rFonts w:ascii="Arial" w:cs="Arial" w:eastAsia="Arial" w:hAnsi="Arial"/>
          <w:i/>
          <w:iCs/>
          <w:color w:val="666666"/>
          <w:sz w:val="18"/>
          <w:szCs w:val="18"/>
        </w:rPr>
        <w:t xml:space="preserve">Figure 3. Morphology Space — five trajectory classes plotted by drift depth versus collapse depth.</w:t>
      </w:r>
    </w:p>
    <w:p>
      <w:pPr>
        <w:pStyle w:val="Heading2"/>
        <w:spacing w:after="140" w:before="280"/>
      </w:pPr>
      <w:r>
        <w:rPr>
          <w:rFonts w:ascii="Arial" w:cs="Arial" w:eastAsia="Arial" w:hAnsi="Arial"/>
          <w:b/>
          <w:bCs/>
          <w:sz w:val="26"/>
          <w:szCs w:val="26"/>
        </w:rPr>
        <w:t xml:space="preserve">Why This Matters for Comparative Research</w:t>
      </w:r>
    </w:p>
    <w:p>
      <w:pPr>
        <w:spacing w:after="120" w:before="80" w:line="276"/>
      </w:pPr>
      <w:r>
        <w:rPr>
          <w:rFonts w:ascii="Arial" w:cs="Arial" w:eastAsia="Arial" w:hAnsi="Arial"/>
          <w:sz w:val="22"/>
          <w:szCs w:val="22"/>
        </w:rPr>
        <w:t xml:space="preserve">Because Y(n) and O(n) count regime-stable intervals rather than clock time, GYOR makes structurally similar events commensurable across radically different domains and eras. A historian and a political scientist studying different cases in the same morphological region — latent-collapse dominant, restoration severed, state evaporation — are now reading the same structural geometry regardless of the centuries or continents between them.</w:t>
      </w:r>
    </w:p>
    <w:p>
      <w:pPr>
        <w:spacing w:after="120" w:before="80" w:line="276"/>
      </w:pPr>
      <w:r>
        <w:rPr>
          <w:rFonts w:ascii="Arial" w:cs="Arial" w:eastAsia="Arial" w:hAnsi="Arial"/>
          <w:sz w:val="22"/>
          <w:szCs w:val="22"/>
        </w:rPr>
        <w:t xml:space="preserve">This is the move comparative research has always wanted to make but lacked the notation to execute cleanly. Why do some states recover from crisis while others evaporate? Why does institutional reform succeed after some ruptures and fail after others? GYOR gives the comparativist a morphological answer: the trajectory class, the baseline condition entering the precursor window, and the depth of the Orange phase before rupture each predict the recovery geometry independently of domain, culture, or era.</w:t>
      </w:r>
    </w:p>
    <w:p>
      <w:pPr>
        <w:spacing w:after="120" w:before="80" w:line="276"/>
      </w:pPr>
      <w:r>
        <w:rPr>
          <w:rFonts w:ascii="Arial" w:cs="Arial" w:eastAsia="Arial" w:hAnsi="Arial"/>
          <w:sz w:val="22"/>
          <w:szCs w:val="22"/>
        </w:rPr>
        <w:t xml:space="preserve">The 24-case corpus was built on infrastructure, financial, and organizational failures. It does not yet include the core phenomena of political science: constitutional crises, democratic backsliding, social movements, genocide. Whether GYOR reads those phenomena with the same fidelity it reads a refinery or an airline is an open empirical question — and it is the research invitation this document extends to every political scientist, historian, and sociologist who reaches the end of it.</w:t>
      </w:r>
    </w:p>
    <w:p>
      <w:pPr>
        <w:pStyle w:val="Heading2"/>
        <w:spacing w:after="140" w:before="280"/>
      </w:pPr>
      <w:r>
        <w:rPr>
          <w:rFonts w:ascii="Arial" w:cs="Arial" w:eastAsia="Arial" w:hAnsi="Arial"/>
          <w:b/>
          <w:bCs/>
          <w:sz w:val="26"/>
          <w:szCs w:val="26"/>
        </w:rPr>
        <w:t xml:space="preserve">The Asymmetric Return</w:t>
      </w:r>
    </w:p>
    <w:p>
      <w:pPr>
        <w:spacing w:after="120" w:before="80" w:line="276"/>
      </w:pPr>
      <w:r>
        <w:rPr>
          <w:rFonts w:ascii="Arial" w:cs="Arial" w:eastAsia="Arial" w:hAnsi="Arial"/>
          <w:sz w:val="22"/>
          <w:szCs w:val="22"/>
        </w:rPr>
        <w:t xml:space="preserve">One of the most important findings from the corpus is the asymmetric return property. A system can drift incrementally — one small decision at a time, one deferred repair, one normalized anomaly. It cannot return incrementally from distributed drift.</w:t>
      </w:r>
    </w:p>
    <w:p>
      <w:pPr>
        <w:spacing w:after="120" w:before="80" w:line="276"/>
      </w:pPr>
      <w:r>
        <w:rPr>
          <w:rFonts w:ascii="Arial" w:cs="Arial" w:eastAsia="Arial" w:hAnsi="Arial"/>
          <w:sz w:val="22"/>
          <w:szCs w:val="22"/>
        </w:rPr>
        <w:t xml:space="preserve">Southwest Airlines drifted into Y(8) across all six structural layers over eight regime-stable periods. Each individual deferral was defensible in isolation. The December 2022 holiday meltdown — 16,700 cancelled flights, congressional scrutiny, a collapse of public trust — was the ΦₘG flip: the moment the meaning layer stopped tolerating what the operational layers had been normalizing.</w:t>
      </w:r>
    </w:p>
    <w:p>
      <w:pPr>
        <w:spacing w:after="120" w:before="80" w:line="276"/>
      </w:pPr>
      <w:r>
        <w:rPr>
          <w:rFonts w:ascii="Arial" w:cs="Arial" w:eastAsia="Arial" w:hAnsi="Arial"/>
          <w:sz w:val="22"/>
          <w:szCs w:val="22"/>
        </w:rPr>
        <w:t xml:space="preserve">The return required simultaneous intervention across all six layers. That is not how institutions prefer to operate. It is how coherence physics required them to operate. The Southwest that emerged — assigned seating, rebuilt scheduling architecture, new fleet geometry — is G*, not G. The original system cannot be restored because the drift consumed it.</w:t>
      </w:r>
    </w:p>
    <w:p>
      <w:pPr>
        <w:spacing w:after="120" w:before="80" w:line="276"/>
      </w:pPr>
      <w:r>
        <w:rPr>
          <w:rFonts w:ascii="Arial" w:cs="Arial" w:eastAsia="Arial" w:hAnsi="Arial"/>
          <w:sz w:val="22"/>
          <w:szCs w:val="22"/>
        </w:rPr>
        <w:t xml:space="preserve">For the political scientist studying institutional reform: this is why incremental reform so often fails after a crisis. The system drifted across multiple layers simultaneously. Addressing one layer while leaving others in drift does not return the system to coherence. It produces a partial intervention that exhausts political capital without closing the seam.</w:t>
      </w:r>
    </w:p>
    <w:p>
      <w:pPr>
        <w:pStyle w:val="Heading2"/>
        <w:spacing w:after="140" w:before="280"/>
      </w:pPr>
      <w:r>
        <w:rPr>
          <w:rFonts w:ascii="Arial" w:cs="Arial" w:eastAsia="Arial" w:hAnsi="Arial"/>
          <w:b/>
          <w:bCs/>
          <w:sz w:val="26"/>
          <w:szCs w:val="26"/>
        </w:rPr>
        <w:t xml:space="preserve">Northridge: Three Readings of One Event</w:t>
      </w:r>
    </w:p>
    <w:p>
      <w:pPr>
        <w:spacing w:after="120" w:before="80" w:line="276"/>
      </w:pPr>
      <w:r>
        <w:rPr>
          <w:rFonts w:ascii="Arial" w:cs="Arial" w:eastAsia="Arial" w:hAnsi="Arial"/>
          <w:sz w:val="22"/>
          <w:szCs w:val="22"/>
        </w:rPr>
        <w:t xml:space="preserve">Northridge 1994 is the corpus’s proof case for a different reason than most cases. As a pure shock rupture — G(·) R(1), no precursor geometry — it has no pre-rupture window to measure. The observatory cannot warn you it is coming. What Northridge demonstrates instead is the full post-rupture measurement capability of the framework.</w:t>
      </w:r>
    </w:p>
    <w:p>
      <w:pPr>
        <w:spacing w:after="120" w:before="80" w:line="276"/>
      </w:pPr>
      <w:r>
        <w:rPr>
          <w:rFonts w:ascii="Arial" w:cs="Arial" w:eastAsia="Arial" w:hAnsi="Arial"/>
          <w:sz w:val="22"/>
          <w:szCs w:val="22"/>
        </w:rPr>
        <w:t xml:space="preserve">The same event produces three distinct analytical readings depending on which lens the observatory applies. Each reading serves a different audience and answers a different question.</w:t>
      </w:r>
    </w:p>
    <w:p>
      <w:pPr>
        <w:spacing w:after="80" w:before="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3400"/>
        <w:gridCol w:w="2760"/>
        <w:gridCol w:w="1800"/>
      </w:tblGrid>
      <w:tr>
        <w:tc>
          <w:tcPr>
            <w:tcW w:type="dxa" w:w="14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Lens</w:t>
            </w:r>
          </w:p>
        </w:tc>
        <w:tc>
          <w:tcPr>
            <w:tcW w:type="dxa" w:w="34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Question It Answers</w:t>
            </w:r>
          </w:p>
        </w:tc>
        <w:tc>
          <w:tcPr>
            <w:tcW w:type="dxa" w:w="276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What GYOR Measures</w:t>
            </w:r>
          </w:p>
        </w:tc>
        <w:tc>
          <w:tcPr>
            <w:tcW w:type="dxa" w:w="18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Developed In</w:t>
            </w:r>
          </w:p>
        </w:tc>
      </w:tr>
      <w:tr>
        <w:tc>
          <w:tcPr>
            <w:tcW w:type="dxa" w:w="14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Tail Risk</w:t>
            </w:r>
          </w:p>
        </w:tc>
        <w:tc>
          <w:tcPr>
            <w:tcW w:type="dxa" w:w="34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How long will losses develop after the rupture, and which seams are still active?</w:t>
            </w:r>
          </w:p>
        </w:tc>
        <w:tc>
          <w:tcPr>
            <w:tcW w:type="dxa" w:w="27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H3 operator profile: which seams remained elevated after rupture and for how long. Produces a reserve adequacy signal that actuarial triangles cannot generate on their own.</w:t>
            </w:r>
          </w:p>
        </w:tc>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GCM Observatory V1</w:t>
            </w:r>
          </w:p>
        </w:tc>
      </w:tr>
      <w:tr>
        <w:tc>
          <w:tcPr>
            <w:tcW w:type="dxa" w:w="14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Seam Management</w:t>
            </w:r>
          </w:p>
        </w:tc>
        <w:tc>
          <w:tcPr>
            <w:tcW w:type="dxa" w:w="34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Which parts of the surviving infrastructure remain structurally vulnerable?</w:t>
            </w:r>
          </w:p>
        </w:tc>
        <w:tc>
          <w:tcPr>
            <w:tcW w:type="dxa" w:w="27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Post-rupture operator behavior as a diagnostic of seam health across the surviving network. The rupture is the instrument that made hidden vulnerabilities visible.</w:t>
            </w:r>
          </w:p>
        </w:tc>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GCM Observatory V3</w:t>
            </w:r>
          </w:p>
        </w:tc>
      </w:tr>
      <w:tr>
        <w:tc>
          <w:tcPr>
            <w:tcW w:type="dxa" w:w="14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Physical Reconstruction</w:t>
            </w:r>
          </w:p>
        </w:tc>
        <w:tc>
          <w:tcPr>
            <w:tcW w:type="dxa" w:w="34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What was the exact cascade geometry of the rupture itself?</w:t>
            </w:r>
          </w:p>
        </w:tc>
        <w:tc>
          <w:tcPr>
            <w:tcW w:type="dxa" w:w="27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Six seams activating in timestamped sequence from the seismic event through institutional response. The earthquake reconstructed as a coherence event.</w:t>
            </w:r>
          </w:p>
        </w:tc>
        <w:tc>
          <w:tcPr>
            <w:tcW w:type="dxa" w:w="1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GCM Observatory V2</w:t>
            </w:r>
          </w:p>
        </w:tc>
      </w:tr>
    </w:tbl>
    <w:p>
      <w:pPr>
        <w:spacing w:after="80" w:before="100"/>
      </w:pPr>
    </w:p>
    <w:p>
      <w:pPr>
        <w:spacing w:after="80" w:before="60"/>
        <w:ind w:left="720"/>
      </w:pPr>
      <w:r>
        <w:rPr>
          <w:rFonts w:ascii="Arial" w:cs="Arial" w:eastAsia="Arial" w:hAnsi="Arial"/>
          <w:i/>
          <w:iCs/>
          <w:color w:val="666666"/>
          <w:sz w:val="18"/>
          <w:szCs w:val="18"/>
        </w:rPr>
        <w:t xml:space="preserve">See: GCM Global Coherence Observatory: Architecture, Demonstration Cases, and Mode A Proof Series (V1–V3). Ronald Brogdon, UCMS / Souljourner Simulations, 2026. doi.org/10.5281/zenodo.18931019</w:t>
      </w:r>
    </w:p>
    <w:p>
      <w:pPr>
        <w:pBdr>
          <w:bottom w:val="single" w:color="CCCCCC" w:sz="4" w:space="1"/>
        </w:pBdr>
        <w:spacing w:after="200" w:before="200"/>
      </w:pPr>
    </w:p>
    <w:p>
      <w:pPr>
        <w:pStyle w:val="Heading1"/>
        <w:spacing w:after="180" w:before="360"/>
      </w:pPr>
      <w:r>
        <w:rPr>
          <w:rFonts w:ascii="Arial" w:cs="Arial" w:eastAsia="Arial" w:hAnsi="Arial"/>
          <w:b/>
          <w:bCs/>
          <w:sz w:val="32"/>
          <w:szCs w:val="32"/>
        </w:rPr>
        <w:t xml:space="preserve">Part V: The Will to Observe</w:t>
      </w:r>
    </w:p>
    <w:p>
      <w:pPr>
        <w:spacing w:after="120" w:before="80" w:line="276"/>
      </w:pPr>
      <w:r>
        <w:rPr>
          <w:rFonts w:ascii="Arial" w:cs="Arial" w:eastAsia="Arial" w:hAnsi="Arial"/>
          <w:sz w:val="22"/>
          <w:szCs w:val="22"/>
        </w:rPr>
        <w:t xml:space="preserve">The Detection Gap is a choice. Every rupture in the 24-case corpus was preceded by a Yellow phase. In most cases, the Yellow was visible in public record. In the latent-collapse cases — Texas City, Bhopal, Chernobyl — the Orange was hidden, but the Yellow was not. Someone was watching the dashboard show Green while the seams were already in drift.</w:t>
      </w:r>
    </w:p>
    <w:p>
      <w:pPr>
        <w:spacing w:after="120" w:before="80" w:line="276"/>
      </w:pPr>
      <w:r>
        <w:rPr>
          <w:rFonts w:ascii="Arial" w:cs="Arial" w:eastAsia="Arial" w:hAnsi="Arial"/>
          <w:sz w:val="22"/>
          <w:szCs w:val="22"/>
        </w:rPr>
        <w:t xml:space="preserve">GYOR does not promise to prevent rupture. Shock events like Northridge have no pre-rupture window. Domicide cases like Sudan have a window that is deliberately closed by actors who benefit from the collapse. But across the majority of the 24 cases, an observer using GYOR morphology and casual knowledge of public events would have been able to name the Yellow phase before the Orange began.</w:t>
      </w:r>
    </w:p>
    <w:p>
      <w:pPr>
        <w:spacing w:after="120" w:before="80" w:line="276"/>
      </w:pPr>
      <w:r>
        <w:rPr>
          <w:rFonts w:ascii="Arial" w:cs="Arial" w:eastAsia="Arial" w:hAnsi="Arial"/>
          <w:sz w:val="22"/>
          <w:szCs w:val="22"/>
        </w:rPr>
        <w:t xml:space="preserve">That is the value proposition for the political scientist, the historian, the economist, and the student. Not instrumentation. Not proprietary data. A lens that makes the trail readable from what is already visible.</w:t>
      </w:r>
    </w:p>
    <w:p>
      <w:pPr>
        <w:spacing w:after="120" w:before="80" w:line="276"/>
      </w:pPr>
      <w:r>
        <w:rPr>
          <w:rFonts w:ascii="Arial" w:cs="Arial" w:eastAsia="Arial" w:hAnsi="Arial"/>
          <w:sz w:val="22"/>
          <w:szCs w:val="22"/>
        </w:rPr>
        <w:t xml:space="preserve">Bertalanffy’s insight was that living systems fight entropy actively. The coherence of an institution, a state, or a civilization is not a passive condition. It is a continuously earned achievement — the result of restoration outpacing drift, seam by seam, day by day. When the will to observe the seams atrophies, the drift accelerates in the dark.</w:t>
      </w:r>
    </w:p>
    <w:p>
      <w:pPr>
        <w:spacing w:after="120" w:before="80" w:line="276"/>
      </w:pPr>
      <w:r>
        <w:rPr>
          <w:rFonts w:ascii="Arial" w:cs="Arial" w:eastAsia="Arial" w:hAnsi="Arial"/>
          <w:sz w:val="22"/>
          <w:szCs w:val="22"/>
        </w:rPr>
        <w:t xml:space="preserve">The GCM Observatory exists to restore that will. GYOR is its accessible expression. The only prerequisite is the courage to see the seams as they actually are.</w:t>
      </w:r>
    </w:p>
    <w:p>
      <w:pPr>
        <w:spacing w:after="120" w:before="80" w:line="276"/>
      </w:pPr>
      <w:r>
        <w:rPr>
          <w:rFonts w:ascii="Arial" w:cs="Arial" w:eastAsia="Arial" w:hAnsi="Arial"/>
          <w:sz w:val="22"/>
          <w:szCs w:val="22"/>
        </w:rPr>
        <w:t xml:space="preserve">If you have read this far and you study systems that fail — states, institutions, movements, markets, communities — the next move is yours. Take a system you know. Identify the most recent moment when the official narrative diverged from what was observably true on the ground. Ask whether that moment was Yellow or Orange. Trace backward to find when the Green ended. You do not need instruments. You already have the data. The framework is now yours to apply — and the open question of whether it holds in your domain is precisely the research the corpus needs next.</w:t>
      </w:r>
    </w:p>
    <w:p>
      <w:pPr>
        <w:pBdr>
          <w:bottom w:val="single" w:color="CCCCCC" w:sz="4" w:space="1"/>
        </w:pBdr>
        <w:spacing w:after="200" w:before="200"/>
      </w:pPr>
    </w:p>
    <w:p>
      <w:pPr>
        <w:pStyle w:val="Heading1"/>
        <w:spacing w:after="180" w:before="360"/>
      </w:pPr>
      <w:r>
        <w:rPr>
          <w:rFonts w:ascii="Arial" w:cs="Arial" w:eastAsia="Arial" w:hAnsi="Arial"/>
          <w:b/>
          <w:bCs/>
          <w:sz w:val="32"/>
          <w:szCs w:val="32"/>
        </w:rPr>
        <w:t xml:space="preserve">GCM Observatory Series — Canon Reference</w:t>
      </w:r>
    </w:p>
    <w:p>
      <w:pPr>
        <w:spacing w:after="120" w:before="80" w:line="276"/>
      </w:pPr>
      <w:r>
        <w:rPr>
          <w:rFonts w:ascii="Arial" w:cs="Arial" w:eastAsia="Arial" w:hAnsi="Arial"/>
          <w:sz w:val="22"/>
          <w:szCs w:val="22"/>
        </w:rPr>
        <w:t xml:space="preserve">This document is the accessible introduction to a formally deposited scientific canon. Readers seeking the full technical architecture, falsification protocol, and 24-case reconstruction corpus are directed to the following:</w:t>
      </w:r>
    </w:p>
    <w:p>
      <w:pPr>
        <w:spacing w:after="80" w:before="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360"/>
        <w:gridCol w:w="2800"/>
      </w:tblGrid>
      <w:tr>
        <w:tc>
          <w:tcPr>
            <w:tcW w:type="dxa" w:w="22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Document</w:t>
            </w:r>
          </w:p>
        </w:tc>
        <w:tc>
          <w:tcPr>
            <w:tcW w:type="dxa" w:w="436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What It Contains</w:t>
            </w:r>
          </w:p>
        </w:tc>
        <w:tc>
          <w:tcPr>
            <w:tcW w:type="dxa" w:w="2800"/>
            <w:tcBorders>
              <w:top w:val="single" w:color="CCCCCC" w:sz="1"/>
              <w:left w:val="single" w:color="CCCCCC" w:sz="1"/>
              <w:bottom w:val="single" w:color="CCCCCC" w:sz="1"/>
              <w:right w:val="single" w:color="CCCCCC" w:sz="1"/>
            </w:tcBorders>
            <w:shd w:fill="1F4E79" w:val="clear"/>
            <w:tcMar>
              <w:top w:type="dxa" w:w="100"/>
              <w:left w:type="dxa" w:w="150"/>
              <w:bottom w:type="dxa" w:w="100"/>
              <w:right w:type="dxa" w:w="150"/>
            </w:tcMar>
          </w:tcPr>
          <w:p>
            <w:r>
              <w:rPr>
                <w:rFonts w:ascii="Arial" w:cs="Arial" w:eastAsia="Arial" w:hAnsi="Arial"/>
                <w:b/>
                <w:bCs/>
                <w:color w:val="FFFFFF"/>
                <w:sz w:val="20"/>
                <w:szCs w:val="20"/>
              </w:rPr>
              <w:t xml:space="preserve">DOI</w:t>
            </w:r>
          </w:p>
        </w:tc>
      </w:tr>
      <w:tr>
        <w:tc>
          <w:tcPr>
            <w:tcW w:type="dxa" w:w="22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Paper I — Seam Physics</w:t>
            </w:r>
          </w:p>
        </w:tc>
        <w:tc>
          <w:tcPr>
            <w:tcW w:type="dxa" w:w="43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Foundational measurement primitives, operators, Boeing proof case, five trajectory classes</w:t>
            </w:r>
          </w:p>
        </w:tc>
        <w:tc>
          <w:tcPr>
            <w:tcW w:type="dxa" w:w="2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doi.org/10.5281/zenodo.19005292</w:t>
            </w:r>
          </w:p>
        </w:tc>
      </w:tr>
      <w:tr>
        <w:tc>
          <w:tcPr>
            <w:tcW w:type="dxa" w:w="22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Paper II — The Rupture Atlas</w:t>
            </w:r>
          </w:p>
        </w:tc>
        <w:tc>
          <w:tcPr>
            <w:tcW w:type="dxa" w:w="43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GYOR atlas, 24-case corpus, bidirectional classification, falsification protocol, Sudan analysis</w:t>
            </w:r>
          </w:p>
        </w:tc>
        <w:tc>
          <w:tcPr>
            <w:tcW w:type="dxa" w:w="2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Zenodo deposit pending</w:t>
            </w:r>
          </w:p>
        </w:tc>
      </w:tr>
      <w:tr>
        <w:tc>
          <w:tcPr>
            <w:tcW w:type="dxa" w:w="22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GCM V1–V3 — Observatory Canon</w:t>
            </w:r>
          </w:p>
        </w:tc>
        <w:tc>
          <w:tcPr>
            <w:tcW w:type="dxa" w:w="43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Full observatory architecture, Northridge end-to-end reconstruction (V2), Mode A continuous monitoring proof — Kilauea, Harvey, Oroville, California Drought (V3)</w:t>
            </w:r>
          </w:p>
        </w:tc>
        <w:tc>
          <w:tcPr>
            <w:tcW w:type="dxa" w:w="2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doi.org/10.5281/zenodo.18931019</w:t>
            </w:r>
          </w:p>
        </w:tc>
      </w:tr>
      <w:tr>
        <w:tc>
          <w:tcPr>
            <w:tcW w:type="dxa" w:w="22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Geophysical GCM</w:t>
            </w:r>
          </w:p>
        </w:tc>
        <w:tc>
          <w:tcPr>
            <w:tcW w:type="dxa" w:w="436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Earth-system hazard science extension, polemical standard-setting for geophysical measurement</w:t>
            </w:r>
          </w:p>
        </w:tc>
        <w:tc>
          <w:tcPr>
            <w:tcW w:type="dxa" w:w="2800"/>
            <w:tcBorders>
              <w:top w:val="single" w:color="CCCCCC" w:sz="1"/>
              <w:left w:val="single" w:color="CCCCCC" w:sz="1"/>
              <w:bottom w:val="single" w:color="CCCCCC" w:sz="1"/>
              <w:right w:val="single" w:color="CCCCCC" w:sz="1"/>
            </w:tcBorders>
            <w:tcMar>
              <w:top w:type="dxa" w:w="80"/>
              <w:left w:type="dxa" w:w="150"/>
              <w:bottom w:type="dxa" w:w="80"/>
              <w:right w:type="dxa" w:w="150"/>
            </w:tcMar>
          </w:tcPr>
          <w:p>
            <w:r>
              <w:rPr>
                <w:rFonts w:ascii="Arial" w:cs="Arial" w:eastAsia="Arial" w:hAnsi="Arial"/>
                <w:sz w:val="20"/>
                <w:szCs w:val="20"/>
              </w:rPr>
              <w:t xml:space="preserve">doi.org/10.5281/zenodo.18918145</w:t>
            </w:r>
          </w:p>
        </w:tc>
      </w:tr>
    </w:tbl>
    <w:p>
      <w:pPr>
        <w:spacing w:after="80" w:before="300"/>
      </w:pPr>
    </w:p>
    <w:p>
      <w:pPr>
        <w:spacing w:after="80" w:before="200"/>
        <w:jc w:val="center"/>
      </w:pPr>
      <w:r>
        <w:rPr>
          <w:rFonts w:ascii="Arial" w:cs="Arial" w:eastAsia="Arial" w:hAnsi="Arial"/>
          <w:i/>
          <w:iCs/>
          <w:color w:val="888888"/>
          <w:sz w:val="18"/>
          <w:szCs w:val="18"/>
        </w:rPr>
        <w:t xml:space="preserve">Ronald Brogdon  ·  Upstream Coherence Measurement Stratum (UCMS)  ·  Souljourner Simulations  ·  Cypress, Texas  ·  2026</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88888"/>
        <w:sz w:val="18"/>
        <w:szCs w:val="18"/>
      </w:rPr>
      <w:t xml:space="preserve">GYOR (pronounced “gore”) for Everyone  ·  UCMS / Ronald Brogdon  ·  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4E79"/>
      <w:sz w:val="32"/>
      <w:szCs w:val="32"/>
    </w:rPr>
  </w:style>
  <w:style w:type="paragraph" w:styleId="Heading2">
    <w:name w:val="Heading 2"/>
    <w:basedOn w:val="Normal"/>
    <w:next w:val="Normal"/>
    <w:qFormat/>
    <w:pPr>
      <w:spacing w:after="140" w:before="280"/>
      <w:outlineLvl w:val="1"/>
    </w:pPr>
    <w:rPr>
      <w:rFonts w:ascii="Arial" w:cs="Arial" w:eastAsia="Arial" w:hAnsi="Arial"/>
      <w:b/>
      <w:bCs/>
      <w:color w:val="2E74B5"/>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000d67240544a1c0da629bd8bbef5538f4985da1.png"/><Relationship Id="rId9" Type="http://schemas.openxmlformats.org/officeDocument/2006/relationships/image" Target="media/8c68ec5f449cc380a7827257ad1829f5a1535dc4.png"/><Relationship Id="rId10" Type="http://schemas.openxmlformats.org/officeDocument/2006/relationships/image" Target="media/0ae91eed3859ea4d63530b639b5386dd24646aa3.png"/><Relationship Id="rId11" Type="http://schemas.openxmlformats.org/officeDocument/2006/relationships/image" Target="media/cfe7bec62063f668523b87d56877829e1e390e2b.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2026-03-14T23:03:10.544Z</dcterms:created>
  <dcterms:modified xsi:type="dcterms:W3CDTF">2026-03-14T23:03:10.545Z</dcterms:modified>
</cp:coreProperties>
</file>

<file path=docProps/custom.xml><?xml version="1.0" encoding="utf-8"?>
<Properties xmlns="http://schemas.openxmlformats.org/officeDocument/2006/custom-properties" xmlns:vt="http://schemas.openxmlformats.org/officeDocument/2006/docPropsVTypes"/>
</file>